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29" w:rsidRDefault="00EA0029" w:rsidP="00EA0029">
      <w:pPr>
        <w:pStyle w:val="Heading1"/>
      </w:pPr>
      <w:r>
        <w:t>Property Insurance</w:t>
      </w:r>
    </w:p>
    <w:p w:rsidR="00EA0029" w:rsidRDefault="00EA0029" w:rsidP="00EA0029">
      <w:pPr>
        <w:pStyle w:val="Heading2"/>
      </w:pPr>
      <w:r>
        <w:t>Summary of Cover – Leaseholders &amp; Shared Owners (General Interests)</w:t>
      </w:r>
    </w:p>
    <w:p w:rsidR="00EA0029" w:rsidRDefault="00EA0029" w:rsidP="00EA0029">
      <w:r>
        <w:t>This document is a policy summary and does not contain the full terms and conditions of the insurance contract.  The full terms and conditions may be found in the policy document, a copy of which is available on request.</w:t>
      </w:r>
    </w:p>
    <w:tbl>
      <w:tblPr>
        <w:tblW w:w="9072" w:type="dxa"/>
        <w:tblInd w:w="14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58" w:type="dxa"/>
          <w:left w:w="115" w:type="dxa"/>
          <w:bottom w:w="58" w:type="dxa"/>
          <w:right w:w="115" w:type="dxa"/>
        </w:tblCellMar>
        <w:tblLook w:val="01E0" w:firstRow="1" w:lastRow="1" w:firstColumn="1" w:lastColumn="1" w:noHBand="0" w:noVBand="0"/>
      </w:tblPr>
      <w:tblGrid>
        <w:gridCol w:w="2268"/>
        <w:gridCol w:w="6804"/>
      </w:tblGrid>
      <w:tr w:rsidR="00EA0029" w:rsidRPr="006A6844" w:rsidTr="0011771F">
        <w:trPr>
          <w:cantSplit/>
          <w:trHeight w:val="264"/>
        </w:trPr>
        <w:tc>
          <w:tcPr>
            <w:tcW w:w="2268" w:type="dxa"/>
            <w:shd w:val="clear" w:color="auto" w:fill="auto"/>
          </w:tcPr>
          <w:p w:rsidR="00EA0029" w:rsidRPr="003224AF" w:rsidRDefault="00EA0029" w:rsidP="0011771F">
            <w:pPr>
              <w:pStyle w:val="TableHeading"/>
            </w:pPr>
            <w:r w:rsidRPr="003224AF">
              <w:t>Identity of Insurer:</w:t>
            </w:r>
          </w:p>
        </w:tc>
        <w:tc>
          <w:tcPr>
            <w:tcW w:w="6804" w:type="dxa"/>
            <w:shd w:val="clear" w:color="auto" w:fill="auto"/>
          </w:tcPr>
          <w:p w:rsidR="00EA0029" w:rsidRPr="003224AF" w:rsidRDefault="00EA0029" w:rsidP="0011771F">
            <w:pPr>
              <w:pStyle w:val="TableHeading"/>
              <w:tabs>
                <w:tab w:val="left" w:pos="2730"/>
              </w:tabs>
              <w:rPr>
                <w:b w:val="0"/>
              </w:rPr>
            </w:pPr>
            <w:r w:rsidRPr="003224AF">
              <w:rPr>
                <w:rFonts w:eastAsia="Times New Roman"/>
                <w:b w:val="0"/>
                <w:szCs w:val="24"/>
              </w:rPr>
              <w:t>U K Insurance Limited</w:t>
            </w:r>
            <w:r w:rsidRPr="003224AF">
              <w:rPr>
                <w:b w:val="0"/>
              </w:rPr>
              <w:t xml:space="preserve"> trading as NIG</w:t>
            </w:r>
            <w:r w:rsidRPr="003224AF">
              <w:rPr>
                <w:b w:val="0"/>
              </w:rPr>
              <w:tab/>
            </w:r>
          </w:p>
        </w:tc>
      </w:tr>
      <w:tr w:rsidR="00EA0029" w:rsidRPr="006A6844" w:rsidTr="0011771F">
        <w:trPr>
          <w:cantSplit/>
          <w:trHeight w:val="264"/>
        </w:trPr>
        <w:tc>
          <w:tcPr>
            <w:tcW w:w="2268" w:type="dxa"/>
            <w:shd w:val="clear" w:color="auto" w:fill="auto"/>
          </w:tcPr>
          <w:p w:rsidR="00EA0029" w:rsidRPr="003224AF" w:rsidRDefault="00EA0029" w:rsidP="0011771F">
            <w:pPr>
              <w:pStyle w:val="TableHeading"/>
            </w:pPr>
            <w:r w:rsidRPr="003224AF">
              <w:t>Policy Wording:</w:t>
            </w:r>
          </w:p>
        </w:tc>
        <w:tc>
          <w:tcPr>
            <w:tcW w:w="6804" w:type="dxa"/>
            <w:shd w:val="clear" w:color="auto" w:fill="auto"/>
          </w:tcPr>
          <w:p w:rsidR="00EA0029" w:rsidRPr="003224AF" w:rsidRDefault="00D42FAC" w:rsidP="00D42FAC">
            <w:pPr>
              <w:pStyle w:val="TableHeading"/>
              <w:tabs>
                <w:tab w:val="left" w:pos="2730"/>
              </w:tabs>
              <w:rPr>
                <w:rFonts w:eastAsia="Times New Roman"/>
                <w:b w:val="0"/>
                <w:szCs w:val="24"/>
              </w:rPr>
            </w:pPr>
            <w:r>
              <w:rPr>
                <w:b w:val="0"/>
              </w:rPr>
              <w:t>Z00021 (11</w:t>
            </w:r>
            <w:r w:rsidR="00EA0029" w:rsidRPr="003224AF">
              <w:rPr>
                <w:b w:val="0"/>
              </w:rPr>
              <w:t>/1</w:t>
            </w:r>
            <w:r>
              <w:rPr>
                <w:b w:val="0"/>
              </w:rPr>
              <w:t>8</w:t>
            </w:r>
            <w:r w:rsidR="00EA0029" w:rsidRPr="003224AF">
              <w:rPr>
                <w:b w:val="0"/>
              </w:rPr>
              <w:t>) NIG</w:t>
            </w:r>
          </w:p>
        </w:tc>
      </w:tr>
      <w:tr w:rsidR="00EA0029" w:rsidRPr="006A6844" w:rsidTr="0011771F">
        <w:trPr>
          <w:cantSplit/>
        </w:trPr>
        <w:tc>
          <w:tcPr>
            <w:tcW w:w="2268" w:type="dxa"/>
            <w:shd w:val="clear" w:color="auto" w:fill="auto"/>
          </w:tcPr>
          <w:p w:rsidR="00EA0029" w:rsidRPr="00215C37" w:rsidRDefault="00EA0029" w:rsidP="0011771F">
            <w:pPr>
              <w:pStyle w:val="TableHeading"/>
            </w:pPr>
            <w:r w:rsidRPr="00215C37">
              <w:t>Policy Number:</w:t>
            </w:r>
          </w:p>
        </w:tc>
        <w:tc>
          <w:tcPr>
            <w:tcW w:w="6804" w:type="dxa"/>
            <w:shd w:val="clear" w:color="auto" w:fill="auto"/>
          </w:tcPr>
          <w:p w:rsidR="00EA0029" w:rsidRPr="00F073A2" w:rsidRDefault="00F073A2" w:rsidP="0011771F">
            <w:pPr>
              <w:pStyle w:val="Tabletext"/>
              <w:rPr>
                <w:color w:val="000000" w:themeColor="text1"/>
              </w:rPr>
            </w:pPr>
            <w:r w:rsidRPr="00F073A2">
              <w:rPr>
                <w:color w:val="000000" w:themeColor="text1"/>
              </w:rPr>
              <w:t>23</w:t>
            </w:r>
            <w:r w:rsidR="00F361A0" w:rsidRPr="00F073A2">
              <w:rPr>
                <w:color w:val="000000" w:themeColor="text1"/>
              </w:rPr>
              <w:t>/RSL/6422315</w:t>
            </w:r>
          </w:p>
        </w:tc>
      </w:tr>
      <w:tr w:rsidR="00EA0029" w:rsidRPr="006A6844" w:rsidTr="0011771F">
        <w:trPr>
          <w:cantSplit/>
        </w:trPr>
        <w:tc>
          <w:tcPr>
            <w:tcW w:w="2268" w:type="dxa"/>
            <w:shd w:val="clear" w:color="auto" w:fill="auto"/>
          </w:tcPr>
          <w:p w:rsidR="00EA0029" w:rsidRPr="00215C37" w:rsidRDefault="00EA0029" w:rsidP="0011771F">
            <w:pPr>
              <w:pStyle w:val="TableHeading"/>
            </w:pPr>
            <w:r w:rsidRPr="00215C37">
              <w:t>Period of Cover:</w:t>
            </w:r>
          </w:p>
        </w:tc>
        <w:tc>
          <w:tcPr>
            <w:tcW w:w="6804" w:type="dxa"/>
            <w:shd w:val="clear" w:color="auto" w:fill="auto"/>
          </w:tcPr>
          <w:p w:rsidR="00EA0029" w:rsidRPr="00F073A2" w:rsidRDefault="00F073A2" w:rsidP="0011771F">
            <w:pPr>
              <w:pStyle w:val="Tabletext"/>
              <w:rPr>
                <w:color w:val="000000" w:themeColor="text1"/>
              </w:rPr>
            </w:pPr>
            <w:r w:rsidRPr="00F073A2">
              <w:rPr>
                <w:color w:val="000000" w:themeColor="text1"/>
              </w:rPr>
              <w:t>01/10/2023 to 30/09/2024</w:t>
            </w:r>
          </w:p>
        </w:tc>
      </w:tr>
      <w:tr w:rsidR="00EA0029" w:rsidRPr="006A6844" w:rsidTr="0011771F">
        <w:trPr>
          <w:cantSplit/>
        </w:trPr>
        <w:tc>
          <w:tcPr>
            <w:tcW w:w="2268" w:type="dxa"/>
            <w:shd w:val="clear" w:color="auto" w:fill="auto"/>
          </w:tcPr>
          <w:p w:rsidR="00EA0029" w:rsidRPr="00215C37" w:rsidRDefault="00EA0029" w:rsidP="0011771F">
            <w:pPr>
              <w:pStyle w:val="TableHeading"/>
            </w:pPr>
            <w:r w:rsidRPr="00215C37">
              <w:t>Insured:</w:t>
            </w:r>
          </w:p>
        </w:tc>
        <w:tc>
          <w:tcPr>
            <w:tcW w:w="6804" w:type="dxa"/>
            <w:shd w:val="clear" w:color="auto" w:fill="auto"/>
          </w:tcPr>
          <w:p w:rsidR="00EA0029" w:rsidRPr="006A6844" w:rsidRDefault="00F361A0" w:rsidP="0011771F">
            <w:pPr>
              <w:pStyle w:val="Tabletext"/>
              <w:rPr>
                <w:color w:val="002C58"/>
              </w:rPr>
            </w:pPr>
            <w:r w:rsidRPr="00B106AC">
              <w:rPr>
                <w:rFonts w:eastAsia="Times New Roman"/>
                <w:szCs w:val="24"/>
              </w:rPr>
              <w:t>Hightown Housing Association</w:t>
            </w:r>
            <w:r>
              <w:rPr>
                <w:rFonts w:eastAsia="Times New Roman"/>
                <w:szCs w:val="24"/>
              </w:rPr>
              <w:t xml:space="preserve"> Limited</w:t>
            </w:r>
            <w:r w:rsidR="00EA0029" w:rsidRPr="00215C37">
              <w:t xml:space="preserve"> and/or any Leaseholder or Part Owner of the Property Insured</w:t>
            </w:r>
          </w:p>
        </w:tc>
      </w:tr>
      <w:tr w:rsidR="00EA0029" w:rsidRPr="006A6844" w:rsidTr="0011771F">
        <w:trPr>
          <w:cantSplit/>
        </w:trPr>
        <w:tc>
          <w:tcPr>
            <w:tcW w:w="2268" w:type="dxa"/>
            <w:shd w:val="clear" w:color="auto" w:fill="auto"/>
          </w:tcPr>
          <w:p w:rsidR="00EA0029" w:rsidRPr="00215C37" w:rsidRDefault="00EA0029" w:rsidP="0011771F">
            <w:pPr>
              <w:pStyle w:val="TableHeading"/>
            </w:pPr>
            <w:r w:rsidRPr="00215C37">
              <w:t>Other Interests:</w:t>
            </w:r>
          </w:p>
        </w:tc>
        <w:tc>
          <w:tcPr>
            <w:tcW w:w="6804" w:type="dxa"/>
            <w:shd w:val="clear" w:color="auto" w:fill="auto"/>
          </w:tcPr>
          <w:p w:rsidR="00EA0029" w:rsidRPr="006A6844" w:rsidRDefault="00EA0029" w:rsidP="0011771F">
            <w:pPr>
              <w:pStyle w:val="tabletext0"/>
            </w:pPr>
            <w:r w:rsidRPr="006A6844">
              <w:t>The interests of the freeholder and the head lessee of the property where required (if they are not the Policyholder), the owner or lessee of each property and the mortgagees of any of them are deemed to be noted</w:t>
            </w:r>
          </w:p>
        </w:tc>
      </w:tr>
    </w:tbl>
    <w:p w:rsidR="00EA0029" w:rsidRDefault="00EA0029" w:rsidP="00EA0029">
      <w:pPr>
        <w:pStyle w:val="Heading3"/>
      </w:pPr>
      <w:r>
        <w:t>Buildings</w:t>
      </w:r>
    </w:p>
    <w:p w:rsidR="00EA0029" w:rsidRDefault="00EA0029" w:rsidP="00EA0029">
      <w:r>
        <w:t>The structure of the property insured including:</w:t>
      </w:r>
    </w:p>
    <w:p w:rsidR="00EA0029" w:rsidRDefault="00EA0029" w:rsidP="00EA0029">
      <w:pPr>
        <w:pStyle w:val="AJGBullet"/>
      </w:pPr>
      <w:r>
        <w:t>fixtures and fittings;</w:t>
      </w:r>
    </w:p>
    <w:p w:rsidR="00EA0029" w:rsidRDefault="00EA0029" w:rsidP="00EA0029">
      <w:pPr>
        <w:pStyle w:val="AJGBullet"/>
      </w:pPr>
      <w:r>
        <w:t>garages, greenhouses, sheds and outbuildings;</w:t>
      </w:r>
    </w:p>
    <w:p w:rsidR="00EA0029" w:rsidRDefault="00EA0029" w:rsidP="00EA0029">
      <w:pPr>
        <w:pStyle w:val="AJGBullet"/>
      </w:pPr>
      <w:r>
        <w:t>patios, paved areas, footpaths, roads, car parks, lampposts, drives, swimming pools but not their covers, hard tennis courts, fixed playground equipment and play areas, walls, fences and gates but only where the building is damaged at the same time for the peril of subsidence</w:t>
      </w:r>
    </w:p>
    <w:p w:rsidR="00EA0029" w:rsidRDefault="00EA0029" w:rsidP="00EA0029">
      <w:pPr>
        <w:pStyle w:val="tabletext0"/>
      </w:pPr>
    </w:p>
    <w:p w:rsidR="00EA0029" w:rsidRDefault="00EA0029" w:rsidP="00EA0029">
      <w:pPr>
        <w:tabs>
          <w:tab w:val="left" w:pos="1620"/>
        </w:tabs>
        <w:rPr>
          <w:rFonts w:cs="Arial"/>
        </w:rPr>
      </w:pPr>
      <w:r>
        <w:rPr>
          <w:rFonts w:cs="Arial"/>
          <w:b/>
          <w:bCs/>
        </w:rPr>
        <w:t>SUM INSURED:</w:t>
      </w:r>
      <w:r>
        <w:rPr>
          <w:rFonts w:cs="Arial"/>
        </w:rPr>
        <w:t xml:space="preserve"> </w:t>
      </w:r>
      <w:r>
        <w:rPr>
          <w:rFonts w:cs="Arial"/>
        </w:rPr>
        <w:tab/>
      </w:r>
      <w:r>
        <w:t>Full Reinstatement Value</w:t>
      </w:r>
    </w:p>
    <w:p w:rsidR="00EA0029" w:rsidRDefault="00EA0029" w:rsidP="00EA0029">
      <w:pPr>
        <w:tabs>
          <w:tab w:val="left" w:pos="1620"/>
        </w:tabs>
        <w:ind w:left="1620" w:hanging="1620"/>
      </w:pPr>
      <w:r>
        <w:rPr>
          <w:rFonts w:cs="Arial"/>
          <w:b/>
          <w:bCs/>
        </w:rPr>
        <w:t>EXCESS:</w:t>
      </w:r>
      <w:r>
        <w:rPr>
          <w:rFonts w:cs="Arial"/>
        </w:rPr>
        <w:t xml:space="preserve"> </w:t>
      </w:r>
      <w:r>
        <w:rPr>
          <w:rFonts w:cs="Arial"/>
        </w:rPr>
        <w:tab/>
      </w:r>
      <w:r>
        <w:t>The first £</w:t>
      </w:r>
      <w:r w:rsidR="006E351E">
        <w:rPr>
          <w:rFonts w:cs="Arial"/>
          <w:szCs w:val="20"/>
        </w:rPr>
        <w:t>25</w:t>
      </w:r>
      <w:r w:rsidR="00F361A0">
        <w:rPr>
          <w:rFonts w:cs="Arial"/>
          <w:szCs w:val="20"/>
        </w:rPr>
        <w:t>0</w:t>
      </w:r>
      <w:r>
        <w:t xml:space="preserve"> each and every claim increasing to £</w:t>
      </w:r>
      <w:r w:rsidR="00F361A0">
        <w:rPr>
          <w:rFonts w:cs="Arial"/>
          <w:szCs w:val="20"/>
        </w:rPr>
        <w:t>5</w:t>
      </w:r>
      <w:r w:rsidR="006E351E">
        <w:rPr>
          <w:rFonts w:cs="Arial"/>
          <w:szCs w:val="20"/>
        </w:rPr>
        <w:t>0</w:t>
      </w:r>
      <w:bookmarkStart w:id="0" w:name="_GoBack"/>
      <w:bookmarkEnd w:id="0"/>
      <w:r w:rsidR="00F361A0">
        <w:rPr>
          <w:rFonts w:cs="Arial"/>
          <w:szCs w:val="20"/>
        </w:rPr>
        <w:t>0</w:t>
      </w:r>
      <w:r>
        <w:t xml:space="preserve"> in respect of </w:t>
      </w:r>
      <w:r w:rsidR="002834D7">
        <w:t>Escape of Water/Oil and £</w:t>
      </w:r>
      <w:r w:rsidR="00F361A0">
        <w:rPr>
          <w:rFonts w:cs="Arial"/>
          <w:szCs w:val="20"/>
        </w:rPr>
        <w:t>1,000</w:t>
      </w:r>
      <w:r w:rsidR="002834D7">
        <w:t xml:space="preserve"> in respect of </w:t>
      </w:r>
      <w:r>
        <w:t xml:space="preserve">Subsidence </w:t>
      </w:r>
      <w:r w:rsidRPr="003224AF">
        <w:t>which will apply per unit of accommodation</w:t>
      </w:r>
    </w:p>
    <w:p w:rsidR="00EA0029" w:rsidRDefault="00EA0029" w:rsidP="00EA0029">
      <w:pPr>
        <w:pStyle w:val="Heading3"/>
      </w:pPr>
      <w:r>
        <w:t>Cover</w:t>
      </w:r>
    </w:p>
    <w:p w:rsidR="00EA0029" w:rsidRDefault="00EA0029" w:rsidP="00EA0029">
      <w:pPr>
        <w:pStyle w:val="AJGBullet"/>
      </w:pPr>
      <w:r>
        <w:t>Fire smoke lightning explosion earthquake</w:t>
      </w:r>
    </w:p>
    <w:p w:rsidR="00EA0029" w:rsidRDefault="00EA0029" w:rsidP="00EA0029">
      <w:pPr>
        <w:pStyle w:val="AJGBullet"/>
      </w:pPr>
      <w:r>
        <w:t>Storm and flood</w:t>
      </w:r>
    </w:p>
    <w:p w:rsidR="00EA0029" w:rsidRDefault="00EA0029" w:rsidP="00EA0029">
      <w:pPr>
        <w:pStyle w:val="AJGBullet"/>
      </w:pPr>
      <w:r>
        <w:t>Escape of water or oil from fixed systems</w:t>
      </w:r>
    </w:p>
    <w:p w:rsidR="00EA0029" w:rsidRDefault="00EA0029" w:rsidP="00EA0029">
      <w:pPr>
        <w:pStyle w:val="AJGBullet"/>
      </w:pPr>
      <w:r>
        <w:t>Riot and civil commotion</w:t>
      </w:r>
    </w:p>
    <w:p w:rsidR="00EA0029" w:rsidRDefault="00EA0029" w:rsidP="00EA0029">
      <w:pPr>
        <w:pStyle w:val="AJGBullet"/>
      </w:pPr>
      <w:r>
        <w:t>Malicious damage</w:t>
      </w:r>
    </w:p>
    <w:p w:rsidR="00EA0029" w:rsidRDefault="00EA0029" w:rsidP="00EA0029">
      <w:pPr>
        <w:pStyle w:val="AJGBullet"/>
      </w:pPr>
      <w:r>
        <w:t>Theft or attempted theft</w:t>
      </w:r>
    </w:p>
    <w:p w:rsidR="00EA0029" w:rsidRDefault="00EA0029" w:rsidP="00EA0029">
      <w:pPr>
        <w:pStyle w:val="AJGBullet"/>
      </w:pPr>
      <w:r>
        <w:t>Subsidence heave or landslip</w:t>
      </w:r>
    </w:p>
    <w:p w:rsidR="00EA0029" w:rsidRDefault="00EA0029" w:rsidP="00EA0029">
      <w:pPr>
        <w:pStyle w:val="AJGBullet"/>
      </w:pPr>
      <w:r>
        <w:lastRenderedPageBreak/>
        <w:t>Impact</w:t>
      </w:r>
    </w:p>
    <w:p w:rsidR="00EA0029" w:rsidRDefault="00EA0029" w:rsidP="00EA0029">
      <w:pPr>
        <w:pStyle w:val="AJGBullet"/>
      </w:pPr>
      <w:r>
        <w:t>Falling trees or aerials</w:t>
      </w:r>
    </w:p>
    <w:p w:rsidR="00EA0029" w:rsidRDefault="00EA0029" w:rsidP="00EA0029">
      <w:pPr>
        <w:pStyle w:val="AJGBullet"/>
      </w:pPr>
      <w:r>
        <w:t>Accidental damage</w:t>
      </w:r>
    </w:p>
    <w:p w:rsidR="00D42FAC" w:rsidRDefault="00D42FAC" w:rsidP="00D42FAC">
      <w:pPr>
        <w:pStyle w:val="AJGBullet"/>
      </w:pPr>
      <w:r>
        <w:t>Property Owners Liability</w:t>
      </w:r>
    </w:p>
    <w:p w:rsidR="00EA0029" w:rsidRDefault="00EA0029" w:rsidP="00EA0029">
      <w:pPr>
        <w:pStyle w:val="AJGBullet"/>
      </w:pPr>
      <w:r>
        <w:t xml:space="preserve">Terrorism </w:t>
      </w:r>
      <w:r w:rsidR="00D42FAC">
        <w:t xml:space="preserve">– Insured via </w:t>
      </w:r>
      <w:r w:rsidR="00D42FAC" w:rsidRPr="0042578A">
        <w:t xml:space="preserve">Ark </w:t>
      </w:r>
      <w:r w:rsidR="00D42FAC">
        <w:t xml:space="preserve">Underwriting </w:t>
      </w:r>
      <w:r w:rsidR="00D42FAC" w:rsidRPr="0042578A">
        <w:t>Syndicate</w:t>
      </w:r>
      <w:r w:rsidR="00D42FAC">
        <w:t xml:space="preserve"> 4020 </w:t>
      </w:r>
    </w:p>
    <w:p w:rsidR="00EA0029" w:rsidRDefault="00EA0029" w:rsidP="00EA0029">
      <w:pPr>
        <w:pStyle w:val="Heading3"/>
      </w:pPr>
      <w:r>
        <w:t>Extensions:</w:t>
      </w:r>
    </w:p>
    <w:p w:rsidR="00EA0029" w:rsidRDefault="00EA0029" w:rsidP="00EA0029">
      <w:pPr>
        <w:pStyle w:val="AJGBullet"/>
      </w:pPr>
      <w:r>
        <w:t>Loss of rent and alternative accommodation costs if the property is uninhabitable</w:t>
      </w:r>
    </w:p>
    <w:p w:rsidR="00EA0029" w:rsidRDefault="00EA0029" w:rsidP="00EA0029">
      <w:pPr>
        <w:pStyle w:val="AJGBullet"/>
      </w:pPr>
      <w:r>
        <w:t xml:space="preserve">Architects’ Surveyors and Legal fees, cost of removing debris </w:t>
      </w:r>
    </w:p>
    <w:p w:rsidR="00EA0029" w:rsidRDefault="00EA0029" w:rsidP="00EA0029">
      <w:pPr>
        <w:pStyle w:val="AJGBullet"/>
      </w:pPr>
      <w:r>
        <w:t>Underground pipes drains and cables</w:t>
      </w:r>
    </w:p>
    <w:p w:rsidR="00EA0029" w:rsidRDefault="00EA0029" w:rsidP="00EA0029">
      <w:pPr>
        <w:pStyle w:val="AJGBullet"/>
      </w:pPr>
      <w:r>
        <w:t>Loss of metered water or oil following an insured peril up to a maximum of £25,000</w:t>
      </w:r>
    </w:p>
    <w:p w:rsidR="00EA0029" w:rsidRDefault="00EA0029" w:rsidP="00EA0029">
      <w:pPr>
        <w:pStyle w:val="AJGBullet"/>
      </w:pPr>
      <w:r>
        <w:t>Automatic Reinstatement of Sum Insured after a loss</w:t>
      </w:r>
    </w:p>
    <w:p w:rsidR="00EA0029" w:rsidRDefault="00EA0029" w:rsidP="00EA0029">
      <w:pPr>
        <w:pStyle w:val="AJGBullet"/>
      </w:pPr>
      <w:r>
        <w:t xml:space="preserve">Index Linking </w:t>
      </w:r>
    </w:p>
    <w:p w:rsidR="00EA0029" w:rsidRDefault="00EA0029" w:rsidP="00EA0029">
      <w:pPr>
        <w:pStyle w:val="AJGBullet"/>
      </w:pPr>
      <w:r>
        <w:t>Basis of Settlement: Reinstatement or repair without deduction for wear tear and depreciation with the exception of storm damaged fences and gates</w:t>
      </w:r>
    </w:p>
    <w:p w:rsidR="00EA0029" w:rsidRDefault="00EA0029" w:rsidP="00EA0029">
      <w:pPr>
        <w:pStyle w:val="Heading3"/>
      </w:pPr>
      <w:r>
        <w:t>Principal Exclusions</w:t>
      </w:r>
    </w:p>
    <w:p w:rsidR="00EA0029" w:rsidRDefault="00EA0029" w:rsidP="00EA0029">
      <w:pPr>
        <w:pStyle w:val="AJGBullet"/>
      </w:pPr>
      <w:r>
        <w:t>Loss or damage caused by anything that happens gradually, corrosion, rust, wet or dry rot, wear &amp; tear</w:t>
      </w:r>
    </w:p>
    <w:p w:rsidR="00EA0029" w:rsidRDefault="00EA0029" w:rsidP="00EA0029">
      <w:pPr>
        <w:pStyle w:val="AJGBullet"/>
      </w:pPr>
      <w:r>
        <w:t xml:space="preserve">Loss or damage caused by pets, insects or vermin </w:t>
      </w:r>
    </w:p>
    <w:p w:rsidR="00EA0029" w:rsidRDefault="00EA0029" w:rsidP="00EA0029">
      <w:pPr>
        <w:pStyle w:val="AJGBullet"/>
      </w:pPr>
      <w:r>
        <w:t>The cost of correcting faulty workmanship or design or the cost of replacing faulty materials</w:t>
      </w:r>
    </w:p>
    <w:p w:rsidR="00EA0029" w:rsidRDefault="00EA0029" w:rsidP="00EA0029">
      <w:pPr>
        <w:pStyle w:val="AJGBullet"/>
      </w:pPr>
      <w:r>
        <w:t>Pressure waves caused by aircraft or other flying objects travelling at or above the speed of sound</w:t>
      </w:r>
    </w:p>
    <w:p w:rsidR="00EA0029" w:rsidRDefault="00EA0029" w:rsidP="00EA0029">
      <w:pPr>
        <w:pStyle w:val="AJGBullet"/>
      </w:pPr>
      <w:r>
        <w:t>Radioactive contamination</w:t>
      </w:r>
    </w:p>
    <w:p w:rsidR="00EA0029" w:rsidRDefault="00EA0029" w:rsidP="00EA0029">
      <w:pPr>
        <w:pStyle w:val="AJGBullet"/>
      </w:pPr>
      <w:r>
        <w:t>War invasion act of foreign enemy hostilities (whether war be declared or not) civil war rebellion revolution insurrection or military or usurped power</w:t>
      </w:r>
    </w:p>
    <w:p w:rsidR="00EA0029" w:rsidRDefault="00EA0029" w:rsidP="00EA0029">
      <w:pPr>
        <w:pStyle w:val="AJGBullet"/>
      </w:pPr>
      <w:r>
        <w:t>Damage caused by the deliberate act of the Policyholder</w:t>
      </w:r>
    </w:p>
    <w:p w:rsidR="00EA0029" w:rsidRDefault="00EA0029" w:rsidP="00EA0029">
      <w:pPr>
        <w:pStyle w:val="AJGBullet"/>
      </w:pPr>
      <w:r>
        <w:t>Loss or damage to fences and gates by storm or flood is limited to indemnity. 10% of the replacement cost will be deducted from each claim for each year of age of the damaged items.</w:t>
      </w:r>
    </w:p>
    <w:p w:rsidR="00EA0029" w:rsidRDefault="00EA0029" w:rsidP="00EA0029">
      <w:pPr>
        <w:pStyle w:val="Heading3"/>
      </w:pPr>
      <w:r>
        <w:t>Complaints</w:t>
      </w:r>
    </w:p>
    <w:p w:rsidR="00EA0029" w:rsidRDefault="00EA0029" w:rsidP="00EA0029">
      <w:pPr>
        <w:rPr>
          <w:rFonts w:cs="Arial"/>
        </w:rPr>
      </w:pPr>
      <w:r>
        <w:rPr>
          <w:rFonts w:cs="Arial"/>
        </w:rPr>
        <w:t>We aim to provide a firs</w:t>
      </w:r>
      <w:r>
        <w:t xml:space="preserve">t class service.  If you have any cause to complain or you feel that we have not kept our promise, please contact us. </w:t>
      </w:r>
      <w:r>
        <w:rPr>
          <w:rFonts w:cs="Arial"/>
        </w:rPr>
        <w:t>The full complaint procedure is shown in the policy document.</w:t>
      </w:r>
    </w:p>
    <w:p w:rsidR="00EA0029" w:rsidRDefault="00EA0029" w:rsidP="00EA0029">
      <w:pPr>
        <w:pStyle w:val="Heading3"/>
      </w:pPr>
      <w:r w:rsidRPr="003224AF">
        <w:t>Financial Services</w:t>
      </w:r>
      <w:r w:rsidRPr="009B35ED">
        <w:rPr>
          <w:color w:val="FF0000"/>
        </w:rPr>
        <w:t xml:space="preserve"> </w:t>
      </w:r>
      <w:r>
        <w:t>Compensation Scheme</w:t>
      </w:r>
    </w:p>
    <w:p w:rsidR="00EA0029" w:rsidRDefault="00EA0029" w:rsidP="00EA0029">
      <w:pPr>
        <w:rPr>
          <w:rFonts w:cs="Arial"/>
        </w:rPr>
      </w:pPr>
      <w:r w:rsidRPr="003224AF">
        <w:t xml:space="preserve">The providers of this insurance </w:t>
      </w:r>
      <w:r w:rsidRPr="003224AF">
        <w:rPr>
          <w:rFonts w:cs="Arial"/>
        </w:rPr>
        <w:t xml:space="preserve">are </w:t>
      </w:r>
      <w:r>
        <w:rPr>
          <w:rFonts w:cs="Arial"/>
        </w:rPr>
        <w:t xml:space="preserve">covered by the Financial Services Compensation Scheme (FSCS).  You may be entitled to compensation from the scheme, if they cannot meet their obligations.  </w:t>
      </w:r>
    </w:p>
    <w:p w:rsidR="00EA0029" w:rsidRDefault="00EA0029" w:rsidP="00EA0029">
      <w:pPr>
        <w:pStyle w:val="Heading3"/>
      </w:pPr>
      <w:r>
        <w:t>Cancelling the Policy</w:t>
      </w:r>
    </w:p>
    <w:p w:rsidR="00EA0029" w:rsidRDefault="00EA0029" w:rsidP="00EA0029">
      <w:r>
        <w:rPr>
          <w:rFonts w:cs="Arial"/>
        </w:rPr>
        <w:t>The terms and conditions of policy cancell</w:t>
      </w:r>
      <w:r>
        <w:t>ation are set out in the policy document.</w:t>
      </w:r>
    </w:p>
    <w:p w:rsidR="00EA0029" w:rsidRDefault="00EA0029" w:rsidP="00EA0029">
      <w:pPr>
        <w:pStyle w:val="Heading3"/>
      </w:pPr>
      <w:r>
        <w:lastRenderedPageBreak/>
        <w:t>In The Event of a Claim</w:t>
      </w:r>
    </w:p>
    <w:p w:rsidR="00EA0029" w:rsidRDefault="00EA0029" w:rsidP="00EA0029">
      <w:pPr>
        <w:rPr>
          <w:rFonts w:cs="Arial"/>
        </w:rPr>
      </w:pPr>
      <w:r>
        <w:rPr>
          <w:rFonts w:cs="Arial"/>
        </w:rPr>
        <w:t xml:space="preserve">During office hours, please contact the Arthur J. Gallagher Insurance Brokers Limited claims department on </w:t>
      </w:r>
      <w:r>
        <w:rPr>
          <w:rFonts w:cs="Arial"/>
          <w:b/>
        </w:rPr>
        <w:t>01245 341</w:t>
      </w:r>
      <w:r w:rsidR="00F361A0">
        <w:rPr>
          <w:rFonts w:cs="Arial"/>
          <w:b/>
          <w:spacing w:val="2"/>
          <w:szCs w:val="20"/>
        </w:rPr>
        <w:t>222</w:t>
      </w:r>
      <w:r>
        <w:rPr>
          <w:rFonts w:cs="Arial"/>
          <w:b/>
        </w:rPr>
        <w:t>.</w:t>
      </w:r>
    </w:p>
    <w:p w:rsidR="008E2245" w:rsidRPr="00EA0029" w:rsidRDefault="00EA0029" w:rsidP="00EA0029">
      <w:r>
        <w:rPr>
          <w:rFonts w:cs="Arial"/>
        </w:rPr>
        <w:t>In the event of an incident out of office hours, you should take whatever action is necessary to prevent</w:t>
      </w:r>
      <w:r>
        <w:t xml:space="preserve"> further damage.  If the damage is catastrophic where the cost of loss is likely to exceed £5,000 or where the property can no longer be occupied, please immediately </w:t>
      </w:r>
      <w:r w:rsidRPr="00F361A0">
        <w:t>contact 01245 341200.</w:t>
      </w:r>
    </w:p>
    <w:sectPr w:rsidR="008E2245" w:rsidRPr="00EA0029" w:rsidSect="00EA0029">
      <w:headerReference w:type="default" r:id="rId11"/>
      <w:footerReference w:type="default" r:id="rId12"/>
      <w:headerReference w:type="first" r:id="rId13"/>
      <w:footerReference w:type="first" r:id="rId14"/>
      <w:pgSz w:w="11907" w:h="16839" w:code="9"/>
      <w:pgMar w:top="2880" w:right="1440" w:bottom="1728"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A0" w:rsidRDefault="00F361A0" w:rsidP="00374DAB">
      <w:r>
        <w:separator/>
      </w:r>
    </w:p>
  </w:endnote>
  <w:endnote w:type="continuationSeparator" w:id="0">
    <w:p w:rsidR="00F361A0" w:rsidRDefault="00F361A0"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NewsGoth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2C" w:rsidRPr="00B5302C" w:rsidRDefault="00B5302C" w:rsidP="00353A5A">
    <w:pPr>
      <w:pStyle w:val="Footer"/>
      <w:framePr w:w="605" w:h="274" w:hRule="exact" w:wrap="around" w:vAnchor="page" w:hAnchor="page" w:x="10801" w:y="16273" w:anchorLock="1"/>
      <w:jc w:val="right"/>
      <w:rPr>
        <w:rStyle w:val="PageNumber"/>
        <w:rFonts w:ascii="NewsGoth BT" w:hAnsi="NewsGoth BT"/>
        <w:color w:val="FFFFFF" w:themeColor="background1"/>
      </w:rPr>
    </w:pPr>
    <w:r w:rsidRPr="00B5302C">
      <w:rPr>
        <w:rStyle w:val="PageNumber"/>
        <w:rFonts w:ascii="NewsGoth BT" w:hAnsi="NewsGoth BT"/>
        <w:color w:val="FFFFFF" w:themeColor="background1"/>
      </w:rPr>
      <w:fldChar w:fldCharType="begin"/>
    </w:r>
    <w:r w:rsidRPr="00B5302C">
      <w:rPr>
        <w:rStyle w:val="PageNumber"/>
        <w:rFonts w:ascii="NewsGoth BT" w:hAnsi="NewsGoth BT"/>
        <w:color w:val="FFFFFF" w:themeColor="background1"/>
      </w:rPr>
      <w:instrText xml:space="preserve">PAGE  </w:instrText>
    </w:r>
    <w:r w:rsidRPr="00B5302C">
      <w:rPr>
        <w:rStyle w:val="PageNumber"/>
        <w:rFonts w:ascii="NewsGoth BT" w:hAnsi="NewsGoth BT"/>
        <w:color w:val="FFFFFF" w:themeColor="background1"/>
      </w:rPr>
      <w:fldChar w:fldCharType="separate"/>
    </w:r>
    <w:r w:rsidR="006E351E">
      <w:rPr>
        <w:rStyle w:val="PageNumber"/>
        <w:rFonts w:ascii="NewsGoth BT" w:hAnsi="NewsGoth BT"/>
        <w:noProof/>
        <w:color w:val="FFFFFF" w:themeColor="background1"/>
      </w:rPr>
      <w:t>3</w:t>
    </w:r>
    <w:r w:rsidRPr="00B5302C">
      <w:rPr>
        <w:rStyle w:val="PageNumber"/>
        <w:rFonts w:ascii="NewsGoth BT" w:hAnsi="NewsGoth BT"/>
        <w:color w:val="FFFFFF" w:themeColor="background1"/>
      </w:rPr>
      <w:fldChar w:fldCharType="end"/>
    </w:r>
  </w:p>
  <w:p w:rsidR="00BD4B32" w:rsidRDefault="00BD4B32" w:rsidP="00BD4B32">
    <w:pPr>
      <w:rPr>
        <w:rStyle w:val="Hyperlink"/>
        <w:rFonts w:eastAsia="Calibri" w:cs="Arial"/>
        <w:sz w:val="16"/>
        <w:szCs w:val="16"/>
      </w:rPr>
    </w:pPr>
    <w:r w:rsidRPr="0081660A">
      <w:rPr>
        <w:rFonts w:eastAsia="Calibri" w:cs="Arial"/>
        <w:color w:val="000000"/>
        <w:sz w:val="16"/>
        <w:szCs w:val="16"/>
      </w:rPr>
      <w:t>Arthur J. Gallagher Insurance Brokers Limited is authorised and regulated by the Financial Conduct Authority. Registered Office: Spectrum Building, 7th Floor, 55 Blythswood Street, Glasgow, G2 7AT. Registered in Scotland. Company Number: SC108909.</w:t>
    </w:r>
    <w:r>
      <w:rPr>
        <w:rFonts w:eastAsia="Calibri" w:cs="Arial"/>
        <w:color w:val="000000"/>
        <w:sz w:val="16"/>
        <w:szCs w:val="16"/>
      </w:rPr>
      <w:t xml:space="preserve"> </w:t>
    </w:r>
    <w:hyperlink r:id="rId1" w:history="1">
      <w:r w:rsidRPr="00D37884">
        <w:rPr>
          <w:rStyle w:val="Hyperlink"/>
          <w:rFonts w:eastAsia="Calibri" w:cs="Arial"/>
          <w:sz w:val="16"/>
          <w:szCs w:val="16"/>
        </w:rPr>
        <w:t>www.ajginternational.com</w:t>
      </w:r>
    </w:hyperlink>
  </w:p>
  <w:p w:rsidR="00EF177C" w:rsidRPr="00886EF4" w:rsidRDefault="00DC2B1A" w:rsidP="00886EF4">
    <w:pPr>
      <w:pStyle w:val="Footer"/>
      <w:spacing w:after="60"/>
      <w:rPr>
        <w:rFonts w:asciiTheme="minorHAnsi" w:hAnsiTheme="minorHAnsi" w:cstheme="minorHAnsi"/>
        <w:sz w:val="12"/>
        <w:szCs w:val="12"/>
      </w:rPr>
    </w:pPr>
    <w:r>
      <w:rPr>
        <w:rFonts w:asciiTheme="minorHAnsi" w:hAnsiTheme="minorHAnsi" w:cstheme="minorHAnsi"/>
        <w:noProof/>
        <w:sz w:val="12"/>
        <w:szCs w:val="12"/>
        <w:lang w:eastAsia="en-GB"/>
      </w:rPr>
      <w:drawing>
        <wp:anchor distT="0" distB="0" distL="114300" distR="114300" simplePos="0" relativeHeight="251672576" behindDoc="1" locked="1" layoutInCell="1" allowOverlap="1" wp14:anchorId="24838FC7" wp14:editId="14960455">
          <wp:simplePos x="0" y="0"/>
          <wp:positionH relativeFrom="page">
            <wp:align>right</wp:align>
          </wp:positionH>
          <wp:positionV relativeFrom="page">
            <wp:align>bottom</wp:align>
          </wp:positionV>
          <wp:extent cx="3063240" cy="1106170"/>
          <wp:effectExtent l="0" t="0" r="3810" b="0"/>
          <wp:wrapNone/>
          <wp:docPr id="8" name="Picture 8" descr="bottom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_curv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2253"/>
                  <a:stretch/>
                </pic:blipFill>
                <pic:spPr bwMode="auto">
                  <a:xfrm>
                    <a:off x="0" y="0"/>
                    <a:ext cx="306324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7D3" w:rsidRPr="006A2EFE">
      <w:rPr>
        <w:rFonts w:asciiTheme="minorHAnsi" w:hAnsiTheme="minorHAnsi" w:cstheme="minorHAnsi"/>
        <w:noProof/>
        <w:sz w:val="12"/>
        <w:szCs w:val="12"/>
      </w:rPr>
      <w:t>©2018 Arthur J. Gallagher &amp; Co.</w:t>
    </w:r>
    <w:r w:rsidR="008651A8" w:rsidRPr="008651A8">
      <w:rPr>
        <w:rFonts w:asciiTheme="minorHAnsi" w:hAnsiTheme="minorHAnsi" w:cstheme="minorHAnsi"/>
        <w:noProof/>
        <w:sz w:val="12"/>
        <w:szCs w:val="12"/>
      </w:rPr>
      <w:t xml:space="preserve"> </w:t>
    </w:r>
    <w:r w:rsidR="00CC6466">
      <w:rPr>
        <w:rFonts w:asciiTheme="minorHAnsi" w:hAnsiTheme="minorHAnsi" w:cstheme="minorHAnsi"/>
        <w:noProof/>
        <w:sz w:val="12"/>
        <w:szCs w:val="12"/>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32" w:rsidRDefault="00BD4B32" w:rsidP="00886EF4">
    <w:pPr>
      <w:pStyle w:val="AJGFooter1"/>
      <w:rPr>
        <w:rStyle w:val="Hyperlink"/>
      </w:rPr>
    </w:pPr>
    <w:r w:rsidRPr="0081660A">
      <w:t>Arthur J. Gallagher Insurance Brokers Limited is authorised and regulated by the Financial Conduct Authority. Registered Office: Spectrum Building, 7th Floor, 55 Blythswood Street, Glasgow, G2 7AT. Registered in Scotland. Company Number: SC108909.</w:t>
    </w:r>
    <w:r>
      <w:t xml:space="preserve"> </w:t>
    </w:r>
    <w:hyperlink r:id="rId1" w:history="1">
      <w:r w:rsidRPr="00D37884">
        <w:rPr>
          <w:rStyle w:val="Hyperlink"/>
        </w:rPr>
        <w:t>www.ajginternational.com</w:t>
      </w:r>
    </w:hyperlink>
  </w:p>
  <w:p w:rsidR="00A730B9" w:rsidRPr="006A2EFE" w:rsidRDefault="00CC6466" w:rsidP="00886EF4">
    <w:pPr>
      <w:pStyle w:val="AJGFooter2"/>
      <w:rPr>
        <w:color w:val="A6A6A6" w:themeColor="background1" w:themeShade="A6"/>
      </w:rPr>
    </w:pPr>
    <w:r w:rsidRPr="006A2EFE">
      <w:t>©2018 Arthur J. Gallagher &amp; Co.</w:t>
    </w:r>
    <w:r w:rsidRPr="008651A8">
      <w:t xml:space="preserve"> </w:t>
    </w: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A0" w:rsidRDefault="00F361A0" w:rsidP="00374DAB">
      <w:r>
        <w:separator/>
      </w:r>
    </w:p>
  </w:footnote>
  <w:footnote w:type="continuationSeparator" w:id="0">
    <w:p w:rsidR="00F361A0" w:rsidRDefault="00F361A0"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78" w:rsidRPr="00954987" w:rsidRDefault="00A622A5" w:rsidP="00886EF4">
    <w:pPr>
      <w:pStyle w:val="Header"/>
    </w:pPr>
    <w:r w:rsidRPr="00954987">
      <w:rPr>
        <w:noProof/>
        <w:lang w:eastAsia="en-GB"/>
      </w:rPr>
      <w:drawing>
        <wp:anchor distT="0" distB="0" distL="114300" distR="114300" simplePos="0" relativeHeight="251669504" behindDoc="1" locked="1" layoutInCell="1" allowOverlap="1" wp14:anchorId="6D6BF929" wp14:editId="0DF217E8">
          <wp:simplePos x="0" y="0"/>
          <wp:positionH relativeFrom="page">
            <wp:posOffset>137160</wp:posOffset>
          </wp:positionH>
          <wp:positionV relativeFrom="page">
            <wp:posOffset>128270</wp:posOffset>
          </wp:positionV>
          <wp:extent cx="2532888" cy="1207008"/>
          <wp:effectExtent l="0" t="0" r="0" b="0"/>
          <wp:wrapNone/>
          <wp:docPr id="7" name="Picture 7"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A730B9" w:rsidRPr="00954987" w:rsidRDefault="00116053" w:rsidP="00886EF4">
    <w:pPr>
      <w:pStyle w:val="Header"/>
    </w:pPr>
    <w:r w:rsidRPr="00954987">
      <w:rPr>
        <w:noProof/>
        <w:lang w:eastAsia="en-GB"/>
      </w:rPr>
      <w:drawing>
        <wp:anchor distT="0" distB="0" distL="114300" distR="114300" simplePos="0" relativeHeight="251674624" behindDoc="1" locked="1" layoutInCell="1" allowOverlap="1" wp14:anchorId="67DE3337" wp14:editId="48663DAB">
          <wp:simplePos x="0" y="0"/>
          <wp:positionH relativeFrom="page">
            <wp:posOffset>8890</wp:posOffset>
          </wp:positionH>
          <wp:positionV relativeFrom="page">
            <wp:posOffset>0</wp:posOffset>
          </wp:positionV>
          <wp:extent cx="7762875" cy="2221865"/>
          <wp:effectExtent l="0" t="0" r="9525" b="6985"/>
          <wp:wrapNone/>
          <wp:docPr id="9" name="Picture 9"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762875" cy="222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FE3613D4"/>
    <w:lvl w:ilvl="0">
      <w:start w:val="1"/>
      <w:numFmt w:val="bullet"/>
      <w:pStyle w:val="Bullet-GallagherBlue"/>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5B7790"/>
    <w:multiLevelType w:val="multilevel"/>
    <w:tmpl w:val="E6F001DE"/>
    <w:lvl w:ilvl="0">
      <w:start w:val="1"/>
      <w:numFmt w:val="bullet"/>
      <w:lvlText w:val=""/>
      <w:lvlJc w:val="left"/>
      <w:pPr>
        <w:tabs>
          <w:tab w:val="num" w:pos="360"/>
        </w:tabs>
        <w:ind w:left="720" w:hanging="360"/>
      </w:pPr>
      <w:rPr>
        <w:rFonts w:ascii="Symbol" w:hAnsi="Symbol" w:hint="default"/>
        <w:color w:val="002C58"/>
        <w:sz w:val="28"/>
      </w:rPr>
    </w:lvl>
    <w:lvl w:ilvl="1">
      <w:start w:val="1"/>
      <w:numFmt w:val="bullet"/>
      <w:lvlText w:val=""/>
      <w:lvlJc w:val="left"/>
      <w:pPr>
        <w:tabs>
          <w:tab w:val="num" w:pos="1440"/>
        </w:tabs>
        <w:ind w:left="1800" w:hanging="360"/>
      </w:pPr>
      <w:rPr>
        <w:rFonts w:ascii="Symbol" w:hAnsi="Symbol" w:cs="Courier New" w:hint="default"/>
        <w:color w:val="002C5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41531"/>
    <w:multiLevelType w:val="hybridMultilevel"/>
    <w:tmpl w:val="A6DA8366"/>
    <w:lvl w:ilvl="0" w:tplc="20A6E692">
      <w:start w:val="1"/>
      <w:numFmt w:val="bullet"/>
      <w:lvlText w:val=""/>
      <w:lvlJc w:val="left"/>
      <w:pPr>
        <w:tabs>
          <w:tab w:val="num" w:pos="504"/>
        </w:tabs>
        <w:ind w:left="504" w:hanging="504"/>
      </w:pPr>
      <w:rPr>
        <w:rFonts w:ascii="Symbol" w:hAnsi="Symbol" w:hint="default"/>
        <w:color w:val="auto"/>
      </w:rPr>
    </w:lvl>
    <w:lvl w:ilvl="1" w:tplc="3DBEFF1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FF1"/>
    <w:multiLevelType w:val="hybridMultilevel"/>
    <w:tmpl w:val="399EF32A"/>
    <w:lvl w:ilvl="0" w:tplc="F326A95E">
      <w:start w:val="1"/>
      <w:numFmt w:val="bullet"/>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B1D8C"/>
    <w:multiLevelType w:val="hybridMultilevel"/>
    <w:tmpl w:val="97CE1F40"/>
    <w:lvl w:ilvl="0" w:tplc="8A80DE72">
      <w:start w:val="1"/>
      <w:numFmt w:val="bullet"/>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4"/>
  </w:num>
  <w:num w:numId="3">
    <w:abstractNumId w:val="4"/>
  </w:num>
  <w:num w:numId="4">
    <w:abstractNumId w:val="4"/>
  </w:num>
  <w:num w:numId="5">
    <w:abstractNumId w:val="4"/>
  </w:num>
  <w:num w:numId="6">
    <w:abstractNumId w:val="12"/>
  </w:num>
  <w:num w:numId="7">
    <w:abstractNumId w:val="10"/>
  </w:num>
  <w:num w:numId="8">
    <w:abstractNumId w:val="10"/>
  </w:num>
  <w:num w:numId="9">
    <w:abstractNumId w:val="10"/>
  </w:num>
  <w:num w:numId="10">
    <w:abstractNumId w:val="11"/>
  </w:num>
  <w:num w:numId="11">
    <w:abstractNumId w:val="8"/>
  </w:num>
  <w:num w:numId="12">
    <w:abstractNumId w:val="7"/>
  </w:num>
  <w:num w:numId="13">
    <w:abstractNumId w:val="3"/>
  </w:num>
  <w:num w:numId="14">
    <w:abstractNumId w:val="13"/>
  </w:num>
  <w:num w:numId="15">
    <w:abstractNumId w:val="13"/>
  </w:num>
  <w:num w:numId="16">
    <w:abstractNumId w:val="13"/>
  </w:num>
  <w:num w:numId="17">
    <w:abstractNumId w:val="13"/>
  </w:num>
  <w:num w:numId="18">
    <w:abstractNumId w:val="2"/>
  </w:num>
  <w:num w:numId="19">
    <w:abstractNumId w:val="9"/>
  </w:num>
  <w:num w:numId="20">
    <w:abstractNumId w:val="9"/>
  </w:num>
  <w:num w:numId="21">
    <w:abstractNumId w:val="9"/>
  </w:num>
  <w:num w:numId="22">
    <w:abstractNumId w:val="9"/>
  </w:num>
  <w:num w:numId="23">
    <w:abstractNumId w:val="14"/>
  </w:num>
  <w:num w:numId="24">
    <w:abstractNumId w:val="0"/>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formatting="1" w:enforcement="1" w:cryptProviderType="rsaAES" w:cryptAlgorithmClass="hash" w:cryptAlgorithmType="typeAny" w:cryptAlgorithmSid="14" w:cryptSpinCount="100000" w:hash="C3gJhAJcCsBtidsJ9/vauSM+OH6LAJUtNHwNJIsEXQHnbI6gOhQ6AzDm9ciUKG21pOCNwNa6AntyGhuePCtJKg==" w:salt="8CVEP/iE/W0RQixJCkcVnw=="/>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F0DFB"/>
    <w:rsid w:val="00100FD1"/>
    <w:rsid w:val="001019E5"/>
    <w:rsid w:val="00116053"/>
    <w:rsid w:val="00151E53"/>
    <w:rsid w:val="00181F7A"/>
    <w:rsid w:val="00184A39"/>
    <w:rsid w:val="001A450E"/>
    <w:rsid w:val="001C5153"/>
    <w:rsid w:val="001C5299"/>
    <w:rsid w:val="001D3955"/>
    <w:rsid w:val="001E120A"/>
    <w:rsid w:val="001E7659"/>
    <w:rsid w:val="00201AC9"/>
    <w:rsid w:val="00224C9B"/>
    <w:rsid w:val="00237ED8"/>
    <w:rsid w:val="00263375"/>
    <w:rsid w:val="00271E9E"/>
    <w:rsid w:val="00276590"/>
    <w:rsid w:val="002834D7"/>
    <w:rsid w:val="002A3EE3"/>
    <w:rsid w:val="002C29D3"/>
    <w:rsid w:val="002C4909"/>
    <w:rsid w:val="002E292B"/>
    <w:rsid w:val="002E77C1"/>
    <w:rsid w:val="0032707D"/>
    <w:rsid w:val="00341DC1"/>
    <w:rsid w:val="00345DE1"/>
    <w:rsid w:val="00353A5A"/>
    <w:rsid w:val="00374DAB"/>
    <w:rsid w:val="003B6169"/>
    <w:rsid w:val="003C65F8"/>
    <w:rsid w:val="003D4096"/>
    <w:rsid w:val="003E319D"/>
    <w:rsid w:val="003F0A0D"/>
    <w:rsid w:val="00403D9B"/>
    <w:rsid w:val="00437FD6"/>
    <w:rsid w:val="004536F5"/>
    <w:rsid w:val="00461618"/>
    <w:rsid w:val="00471CE5"/>
    <w:rsid w:val="004724F7"/>
    <w:rsid w:val="005149ED"/>
    <w:rsid w:val="0057468A"/>
    <w:rsid w:val="00596DF5"/>
    <w:rsid w:val="005A40FF"/>
    <w:rsid w:val="005B5B11"/>
    <w:rsid w:val="005C096A"/>
    <w:rsid w:val="005C391F"/>
    <w:rsid w:val="005C3CCC"/>
    <w:rsid w:val="005D4314"/>
    <w:rsid w:val="005F1B51"/>
    <w:rsid w:val="005F5D63"/>
    <w:rsid w:val="005F77D3"/>
    <w:rsid w:val="0061767B"/>
    <w:rsid w:val="00665156"/>
    <w:rsid w:val="00665845"/>
    <w:rsid w:val="00666B18"/>
    <w:rsid w:val="0067704C"/>
    <w:rsid w:val="006A2EFE"/>
    <w:rsid w:val="006C06D9"/>
    <w:rsid w:val="006C5C56"/>
    <w:rsid w:val="006C7F9E"/>
    <w:rsid w:val="006D456C"/>
    <w:rsid w:val="006E351E"/>
    <w:rsid w:val="006E69A4"/>
    <w:rsid w:val="00703737"/>
    <w:rsid w:val="007109CA"/>
    <w:rsid w:val="00715154"/>
    <w:rsid w:val="00747A76"/>
    <w:rsid w:val="00764EFB"/>
    <w:rsid w:val="00783748"/>
    <w:rsid w:val="00787AE8"/>
    <w:rsid w:val="007B50F7"/>
    <w:rsid w:val="007E11DC"/>
    <w:rsid w:val="007E6FFC"/>
    <w:rsid w:val="0080189E"/>
    <w:rsid w:val="008019FC"/>
    <w:rsid w:val="00820336"/>
    <w:rsid w:val="00834BF4"/>
    <w:rsid w:val="008361D0"/>
    <w:rsid w:val="00847CC8"/>
    <w:rsid w:val="0086377A"/>
    <w:rsid w:val="008651A8"/>
    <w:rsid w:val="00871018"/>
    <w:rsid w:val="00883FA9"/>
    <w:rsid w:val="00886EF4"/>
    <w:rsid w:val="008B4B74"/>
    <w:rsid w:val="008C261C"/>
    <w:rsid w:val="008D116D"/>
    <w:rsid w:val="008E2245"/>
    <w:rsid w:val="008E734E"/>
    <w:rsid w:val="008F71F7"/>
    <w:rsid w:val="009052DD"/>
    <w:rsid w:val="00907BEA"/>
    <w:rsid w:val="00935941"/>
    <w:rsid w:val="00954987"/>
    <w:rsid w:val="00960DAD"/>
    <w:rsid w:val="0097128B"/>
    <w:rsid w:val="00973192"/>
    <w:rsid w:val="009931A6"/>
    <w:rsid w:val="009C5285"/>
    <w:rsid w:val="00A3220A"/>
    <w:rsid w:val="00A33ADD"/>
    <w:rsid w:val="00A622A5"/>
    <w:rsid w:val="00A70E15"/>
    <w:rsid w:val="00A730B9"/>
    <w:rsid w:val="00A74AF1"/>
    <w:rsid w:val="00A95F6F"/>
    <w:rsid w:val="00A97E9E"/>
    <w:rsid w:val="00AD75DC"/>
    <w:rsid w:val="00AE4504"/>
    <w:rsid w:val="00B440AB"/>
    <w:rsid w:val="00B5302C"/>
    <w:rsid w:val="00B530C2"/>
    <w:rsid w:val="00BB3CE8"/>
    <w:rsid w:val="00BD4B32"/>
    <w:rsid w:val="00C0105A"/>
    <w:rsid w:val="00C01563"/>
    <w:rsid w:val="00C41391"/>
    <w:rsid w:val="00C64761"/>
    <w:rsid w:val="00CC6466"/>
    <w:rsid w:val="00CF4C15"/>
    <w:rsid w:val="00D106B6"/>
    <w:rsid w:val="00D21A68"/>
    <w:rsid w:val="00D2685A"/>
    <w:rsid w:val="00D42FAC"/>
    <w:rsid w:val="00D44B42"/>
    <w:rsid w:val="00D45DFD"/>
    <w:rsid w:val="00D473FF"/>
    <w:rsid w:val="00D60B45"/>
    <w:rsid w:val="00DC2B1A"/>
    <w:rsid w:val="00DD05A3"/>
    <w:rsid w:val="00DE17BA"/>
    <w:rsid w:val="00DE4882"/>
    <w:rsid w:val="00DE5A78"/>
    <w:rsid w:val="00DE799A"/>
    <w:rsid w:val="00E50EFE"/>
    <w:rsid w:val="00E838D4"/>
    <w:rsid w:val="00E94A3A"/>
    <w:rsid w:val="00EA0029"/>
    <w:rsid w:val="00EA728F"/>
    <w:rsid w:val="00EB2C57"/>
    <w:rsid w:val="00EB3A13"/>
    <w:rsid w:val="00EF177C"/>
    <w:rsid w:val="00EF4638"/>
    <w:rsid w:val="00F073A2"/>
    <w:rsid w:val="00F361A0"/>
    <w:rsid w:val="00F376A0"/>
    <w:rsid w:val="00F377F1"/>
    <w:rsid w:val="00F65E38"/>
    <w:rsid w:val="00F70F80"/>
    <w:rsid w:val="00F73688"/>
    <w:rsid w:val="00F83169"/>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1E9B97D9"/>
  <w15:docId w15:val="{2079D41C-F84A-4F2A-A668-4FDB3F89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EF4"/>
    <w:pPr>
      <w:spacing w:after="240"/>
      <w:jc w:val="both"/>
    </w:pPr>
    <w:rPr>
      <w:rFonts w:ascii="Arial" w:eastAsia="Times New Roman" w:hAnsi="Arial"/>
      <w:szCs w:val="24"/>
      <w:lang w:val="en-GB"/>
    </w:rPr>
  </w:style>
  <w:style w:type="paragraph" w:styleId="Heading1">
    <w:name w:val="heading 1"/>
    <w:basedOn w:val="Normal"/>
    <w:next w:val="Normal"/>
    <w:link w:val="Heading1Char"/>
    <w:qFormat/>
    <w:rsid w:val="009C5285"/>
    <w:pPr>
      <w:outlineLvl w:val="0"/>
    </w:pPr>
    <w:rPr>
      <w:rFonts w:cs="Arial"/>
      <w:bCs/>
      <w:color w:val="00263E"/>
      <w:sz w:val="36"/>
      <w:szCs w:val="32"/>
    </w:rPr>
  </w:style>
  <w:style w:type="paragraph" w:styleId="Heading2">
    <w:name w:val="heading 2"/>
    <w:basedOn w:val="Normal"/>
    <w:next w:val="Normal"/>
    <w:link w:val="Heading2Char"/>
    <w:qFormat/>
    <w:rsid w:val="009C5285"/>
    <w:pPr>
      <w:keepNext/>
      <w:spacing w:before="240"/>
      <w:outlineLvl w:val="1"/>
    </w:pPr>
    <w:rPr>
      <w:rFonts w:cs="Arial"/>
      <w:b/>
      <w:bCs/>
      <w:iCs/>
      <w:color w:val="6FACDE"/>
      <w:sz w:val="26"/>
      <w:szCs w:val="28"/>
    </w:rPr>
  </w:style>
  <w:style w:type="paragraph" w:styleId="Heading3">
    <w:name w:val="heading 3"/>
    <w:basedOn w:val="Normal"/>
    <w:next w:val="Normal"/>
    <w:link w:val="Heading3Char"/>
    <w:rsid w:val="00EA0029"/>
    <w:pPr>
      <w:keepNext/>
      <w:spacing w:before="240" w:after="120"/>
      <w:outlineLvl w:val="2"/>
    </w:pPr>
    <w:rPr>
      <w:rFonts w:cs="Arial"/>
      <w:b/>
      <w:bCs/>
      <w:color w:val="6FACDE"/>
      <w:sz w:val="24"/>
      <w:szCs w:val="26"/>
    </w:rPr>
  </w:style>
  <w:style w:type="paragraph" w:styleId="Heading4">
    <w:name w:val="heading 4"/>
    <w:basedOn w:val="Normal"/>
    <w:next w:val="Normal"/>
    <w:link w:val="Heading4Char"/>
    <w:rsid w:val="00E50EFE"/>
    <w:pPr>
      <w:spacing w:after="360"/>
      <w:outlineLvl w:val="3"/>
    </w:pPr>
    <w:rPr>
      <w:b/>
      <w:bCs/>
      <w:color w:val="336699"/>
      <w:sz w:val="36"/>
      <w:szCs w:val="28"/>
    </w:rPr>
  </w:style>
  <w:style w:type="paragraph" w:styleId="Heading5">
    <w:name w:val="heading 5"/>
    <w:aliases w:val="Heading"/>
    <w:basedOn w:val="Normal"/>
    <w:next w:val="Normal"/>
    <w:link w:val="Heading5Char"/>
    <w:rsid w:val="00403D9B"/>
    <w:pPr>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886EF4"/>
    <w:pPr>
      <w:tabs>
        <w:tab w:val="center" w:pos="4320"/>
        <w:tab w:val="right" w:pos="8640"/>
      </w:tabs>
      <w:spacing w:after="0"/>
    </w:pPr>
  </w:style>
  <w:style w:type="character" w:customStyle="1" w:styleId="HeaderChar">
    <w:name w:val="Header Char"/>
    <w:basedOn w:val="DefaultParagraphFont"/>
    <w:link w:val="Header"/>
    <w:rsid w:val="00886EF4"/>
    <w:rPr>
      <w:rFonts w:ascii="Arial" w:eastAsia="Times New Roman" w:hAnsi="Arial"/>
      <w:szCs w:val="24"/>
      <w:lang w:val="en-GB"/>
    </w:rPr>
  </w:style>
  <w:style w:type="paragraph" w:styleId="Footer">
    <w:name w:val="footer"/>
    <w:basedOn w:val="Normal"/>
    <w:link w:val="FooterChar"/>
    <w:qFormat/>
    <w:rsid w:val="00E50EFE"/>
    <w:pPr>
      <w:tabs>
        <w:tab w:val="center" w:pos="4320"/>
        <w:tab w:val="right" w:pos="8640"/>
      </w:tabs>
    </w:pPr>
  </w:style>
  <w:style w:type="character" w:customStyle="1" w:styleId="FooterChar">
    <w:name w:val="Footer Char"/>
    <w:basedOn w:val="DefaultParagraphFont"/>
    <w:link w:val="Footer"/>
    <w:rsid w:val="00374DAB"/>
    <w:rPr>
      <w:rFonts w:ascii="Arial" w:eastAsia="Times New Roman" w:hAnsi="Arial"/>
      <w:szCs w:val="24"/>
    </w:rPr>
  </w:style>
  <w:style w:type="paragraph" w:customStyle="1" w:styleId="AJGFooter1">
    <w:name w:val="AJG Footer 1"/>
    <w:basedOn w:val="Normal"/>
    <w:rsid w:val="00886EF4"/>
    <w:rPr>
      <w:rFonts w:eastAsia="Calibri" w:cs="Arial"/>
      <w:color w:val="000000"/>
      <w:sz w:val="16"/>
      <w:szCs w:val="16"/>
    </w:rPr>
  </w:style>
  <w:style w:type="paragraph" w:customStyle="1" w:styleId="AJGFooter2">
    <w:name w:val="AJG Footer 2"/>
    <w:basedOn w:val="Footer"/>
    <w:rsid w:val="00886EF4"/>
    <w:pPr>
      <w:tabs>
        <w:tab w:val="clear" w:pos="4320"/>
        <w:tab w:val="clear" w:pos="8640"/>
        <w:tab w:val="right" w:pos="10800"/>
      </w:tabs>
      <w:spacing w:after="60"/>
    </w:pPr>
    <w:rPr>
      <w:rFonts w:asciiTheme="minorHAnsi" w:hAnsiTheme="minorHAnsi" w:cstheme="minorHAnsi"/>
      <w:noProof/>
      <w:sz w:val="12"/>
      <w:szCs w:val="12"/>
    </w:rPr>
  </w:style>
  <w:style w:type="paragraph" w:customStyle="1" w:styleId="Bullet-GallagherBlue">
    <w:name w:val="Bullet - Gallagher Blue"/>
    <w:basedOn w:val="Normal"/>
    <w:qFormat/>
    <w:rsid w:val="00665156"/>
    <w:pPr>
      <w:numPr>
        <w:numId w:val="2"/>
      </w:numPr>
      <w:spacing w:after="60"/>
    </w:pPr>
    <w:rPr>
      <w:noProof/>
    </w:rPr>
  </w:style>
  <w:style w:type="paragraph" w:customStyle="1" w:styleId="AJGBullet">
    <w:name w:val="AJG Bullet"/>
    <w:basedOn w:val="Bullet-GallagherBlue"/>
    <w:qFormat/>
    <w:rsid w:val="00886EF4"/>
  </w:style>
  <w:style w:type="character" w:customStyle="1" w:styleId="Heading1Char">
    <w:name w:val="Heading 1 Char"/>
    <w:basedOn w:val="DefaultParagraphFont"/>
    <w:link w:val="Heading1"/>
    <w:rsid w:val="009C5285"/>
    <w:rPr>
      <w:rFonts w:ascii="Arial" w:eastAsia="Times New Roman" w:hAnsi="Arial" w:cs="Arial"/>
      <w:bCs/>
      <w:color w:val="00263E"/>
      <w:sz w:val="36"/>
      <w:szCs w:val="32"/>
      <w:lang w:val="en-GB"/>
    </w:rPr>
  </w:style>
  <w:style w:type="character" w:customStyle="1" w:styleId="Heading5Char">
    <w:name w:val="Heading 5 Char"/>
    <w:aliases w:val="Heading Char"/>
    <w:basedOn w:val="DefaultParagraphFont"/>
    <w:link w:val="Heading5"/>
    <w:rsid w:val="00403D9B"/>
    <w:rPr>
      <w:rFonts w:ascii="Arial" w:eastAsia="Times New Roman" w:hAnsi="Arial"/>
      <w:bCs/>
      <w:iCs/>
      <w:noProof/>
      <w:color w:val="00263E" w:themeColor="accent1"/>
      <w:sz w:val="36"/>
      <w:szCs w:val="26"/>
    </w:rPr>
  </w:style>
  <w:style w:type="character" w:styleId="FollowedHyperlink">
    <w:name w:val="FollowedHyperlink"/>
    <w:basedOn w:val="DefaultParagraphFont"/>
    <w:rsid w:val="00E50EFE"/>
    <w:rPr>
      <w:color w:val="800080"/>
      <w:u w:val="single"/>
    </w:rPr>
  </w:style>
  <w:style w:type="character" w:styleId="FootnoteReference">
    <w:name w:val="footnote reference"/>
    <w:basedOn w:val="DefaultParagraphFont"/>
    <w:semiHidden/>
    <w:rsid w:val="00E50EFE"/>
    <w:rPr>
      <w:vertAlign w:val="superscript"/>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character" w:customStyle="1" w:styleId="Heading2Char">
    <w:name w:val="Heading 2 Char"/>
    <w:basedOn w:val="DefaultParagraphFont"/>
    <w:link w:val="Heading2"/>
    <w:rsid w:val="009C5285"/>
    <w:rPr>
      <w:rFonts w:ascii="Arial" w:eastAsia="Times New Roman" w:hAnsi="Arial" w:cs="Arial"/>
      <w:b/>
      <w:bCs/>
      <w:iCs/>
      <w:color w:val="6FACDE"/>
      <w:sz w:val="26"/>
      <w:szCs w:val="28"/>
      <w:lang w:val="en-GB"/>
    </w:rPr>
  </w:style>
  <w:style w:type="character" w:customStyle="1" w:styleId="Heading3Char">
    <w:name w:val="Heading 3 Char"/>
    <w:basedOn w:val="DefaultParagraphFont"/>
    <w:link w:val="Heading3"/>
    <w:rsid w:val="00EA0029"/>
    <w:rPr>
      <w:rFonts w:ascii="Arial" w:eastAsia="Times New Roman" w:hAnsi="Arial" w:cs="Arial"/>
      <w:b/>
      <w:bCs/>
      <w:color w:val="6FACDE"/>
      <w:sz w:val="24"/>
      <w:szCs w:val="26"/>
      <w:lang w:val="en-GB"/>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1B51"/>
    <w:pPr>
      <w:spacing w:before="20" w:after="20"/>
    </w:pPr>
    <w:rPr>
      <w:szCs w:val="22"/>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umber">
    <w:name w:val="Number"/>
    <w:basedOn w:val="ListNumber"/>
    <w:rsid w:val="00E50EFE"/>
    <w:pPr>
      <w:numPr>
        <w:numId w:val="22"/>
      </w:numPr>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character" w:styleId="PageNumber">
    <w:name w:val="page number"/>
    <w:basedOn w:val="DefaultParagraphFont"/>
    <w:rsid w:val="00E50EFE"/>
    <w:rPr>
      <w:rFonts w:ascii="Arial" w:hAnsi="Arial"/>
      <w:sz w:val="20"/>
    </w:rPr>
  </w:style>
  <w:style w:type="paragraph" w:customStyle="1" w:styleId="Subheader">
    <w:name w:val="Subheader"/>
    <w:basedOn w:val="Normal"/>
    <w:next w:val="Normal"/>
    <w:qFormat/>
    <w:rsid w:val="00665156"/>
    <w:pPr>
      <w:keepNext/>
      <w:spacing w:before="240" w:after="120"/>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single" w:sz="8" w:space="0" w:color="EEEC00" w:themeColor="accent3" w:themeTint="BF"/>
      </w:tblBorders>
    </w:tblPr>
    <w:tblStylePr w:type="firstRow">
      <w:pPr>
        <w:spacing w:before="0" w:after="0" w:line="240" w:lineRule="auto"/>
      </w:pPr>
      <w:rPr>
        <w:b/>
        <w:bCs/>
        <w:color w:val="FFFFFF" w:themeColor="background1"/>
      </w:rPr>
      <w:tblPr/>
      <w:tcPr>
        <w:tc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shd w:val="clear" w:color="auto" w:fill="949300" w:themeFill="accent3"/>
      </w:tcPr>
    </w:tblStylePr>
    <w:tblStylePr w:type="lastRow">
      <w:pPr>
        <w:spacing w:before="0" w:after="0" w:line="240" w:lineRule="auto"/>
      </w:pPr>
      <w:rPr>
        <w:b/>
        <w:bCs/>
      </w:rPr>
      <w:tblPr/>
      <w:tcPr>
        <w:tcBorders>
          <w:top w:val="double" w:sz="6"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EA5" w:themeFill="accent3" w:themeFillTint="3F"/>
      </w:tcPr>
    </w:tblStylePr>
    <w:tblStylePr w:type="band1Horz">
      <w:tblPr/>
      <w:tcPr>
        <w:tcBorders>
          <w:insideH w:val="nil"/>
          <w:insideV w:val="nil"/>
        </w:tcBorders>
        <w:shd w:val="clear" w:color="auto" w:fill="FFFEA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949300" w:themeColor="accent3"/>
        <w:left w:val="single" w:sz="8" w:space="0" w:color="949300" w:themeColor="accent3"/>
        <w:bottom w:val="single" w:sz="8" w:space="0" w:color="949300" w:themeColor="accent3"/>
        <w:right w:val="single" w:sz="8" w:space="0" w:color="949300" w:themeColor="accent3"/>
      </w:tblBorders>
    </w:tblPr>
    <w:tblStylePr w:type="firstRow">
      <w:pPr>
        <w:spacing w:before="0" w:after="0" w:line="240" w:lineRule="auto"/>
      </w:pPr>
      <w:rPr>
        <w:b/>
        <w:bCs/>
        <w:color w:val="FFFFFF" w:themeColor="background1"/>
      </w:rPr>
      <w:tblPr/>
      <w:tcPr>
        <w:shd w:val="clear" w:color="auto" w:fill="949300" w:themeFill="accent3"/>
      </w:tcPr>
    </w:tblStylePr>
    <w:tblStylePr w:type="lastRow">
      <w:pPr>
        <w:spacing w:before="0" w:after="0" w:line="240" w:lineRule="auto"/>
      </w:pPr>
      <w:rPr>
        <w:b/>
        <w:bCs/>
      </w:rPr>
      <w:tblPr/>
      <w:tcPr>
        <w:tcBorders>
          <w:top w:val="double" w:sz="6" w:space="0" w:color="949300" w:themeColor="accent3"/>
          <w:left w:val="single" w:sz="8" w:space="0" w:color="949300" w:themeColor="accent3"/>
          <w:bottom w:val="single" w:sz="8" w:space="0" w:color="949300" w:themeColor="accent3"/>
          <w:right w:val="single" w:sz="8" w:space="0" w:color="949300" w:themeColor="accent3"/>
        </w:tcBorders>
      </w:tcPr>
    </w:tblStylePr>
    <w:tblStylePr w:type="firstCol">
      <w:rPr>
        <w:b/>
        <w:bCs/>
      </w:rPr>
    </w:tblStylePr>
    <w:tblStylePr w:type="lastCol">
      <w:rPr>
        <w:b/>
        <w:bCs/>
      </w:rPr>
    </w:tblStylePr>
    <w:tblStylePr w:type="band1Vert">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tblStylePr w:type="band1Horz">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4-Accent21">
    <w:name w:val="Grid Table 4 - Accent 21"/>
    <w:basedOn w:val="TableNormal"/>
    <w:uiPriority w:val="49"/>
    <w:rsid w:val="00907B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TableHeading">
    <w:name w:val="TableHeading"/>
    <w:basedOn w:val="Normal"/>
    <w:link w:val="TableHeadingChar"/>
    <w:qFormat/>
    <w:rsid w:val="00665156"/>
    <w:pPr>
      <w:spacing w:after="0"/>
    </w:pPr>
    <w:rPr>
      <w:rFonts w:eastAsia="Calibri"/>
      <w:b/>
      <w:szCs w:val="22"/>
    </w:rPr>
  </w:style>
  <w:style w:type="character" w:customStyle="1" w:styleId="TableHeadingChar">
    <w:name w:val="TableHeading Char"/>
    <w:link w:val="TableHeading"/>
    <w:rsid w:val="00665156"/>
    <w:rPr>
      <w:rFonts w:ascii="Arial" w:hAnsi="Arial"/>
      <w:b/>
      <w:szCs w:val="22"/>
      <w:lang w:val="en-GB"/>
    </w:rPr>
  </w:style>
  <w:style w:type="paragraph" w:customStyle="1" w:styleId="Tabletext">
    <w:name w:val="Tabletext"/>
    <w:basedOn w:val="Normal"/>
    <w:rsid w:val="00665156"/>
    <w:pPr>
      <w:keepLines/>
      <w:spacing w:after="0"/>
    </w:pPr>
    <w:rPr>
      <w:rFonts w:eastAsia="Calibri"/>
      <w:sz w:val="19"/>
      <w:szCs w:val="22"/>
    </w:rPr>
  </w:style>
  <w:style w:type="paragraph" w:customStyle="1" w:styleId="Bullet1">
    <w:name w:val="Bullet 1"/>
    <w:basedOn w:val="Normal"/>
    <w:link w:val="Bullet1CharChar1"/>
    <w:rsid w:val="00EA0029"/>
    <w:pPr>
      <w:widowControl w:val="0"/>
      <w:tabs>
        <w:tab w:val="num" w:pos="504"/>
      </w:tabs>
      <w:autoSpaceDE w:val="0"/>
      <w:autoSpaceDN w:val="0"/>
      <w:adjustRightInd w:val="0"/>
      <w:spacing w:after="0"/>
      <w:ind w:left="504" w:hanging="504"/>
    </w:pPr>
    <w:rPr>
      <w:rFonts w:eastAsia="Calibri"/>
      <w:b/>
      <w:i/>
      <w:color w:val="7F7F7F"/>
      <w:sz w:val="19"/>
      <w:szCs w:val="22"/>
    </w:rPr>
  </w:style>
  <w:style w:type="character" w:customStyle="1" w:styleId="Bullet1CharChar1">
    <w:name w:val="Bullet 1 Char Char1"/>
    <w:link w:val="Bullet1"/>
    <w:locked/>
    <w:rsid w:val="00EA0029"/>
    <w:rPr>
      <w:rFonts w:ascii="Arial" w:hAnsi="Arial"/>
      <w:b/>
      <w:i/>
      <w:color w:val="7F7F7F"/>
      <w:sz w:val="19"/>
      <w:szCs w:val="22"/>
      <w:lang w:val="en-GB"/>
    </w:rPr>
  </w:style>
  <w:style w:type="paragraph" w:customStyle="1" w:styleId="tabletext0">
    <w:name w:val="tabletext"/>
    <w:basedOn w:val="Normal"/>
    <w:link w:val="tabletextChar"/>
    <w:rsid w:val="00EA0029"/>
    <w:pPr>
      <w:spacing w:after="0"/>
    </w:pPr>
    <w:rPr>
      <w:rFonts w:eastAsia="Calibri"/>
      <w:sz w:val="19"/>
      <w:szCs w:val="22"/>
    </w:rPr>
  </w:style>
  <w:style w:type="character" w:customStyle="1" w:styleId="tabletextChar">
    <w:name w:val="tabletext Char"/>
    <w:link w:val="tabletext0"/>
    <w:rsid w:val="00EA0029"/>
    <w:rPr>
      <w:rFonts w:ascii="Arial" w:hAnsi="Arial"/>
      <w:sz w:val="19"/>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jginternatio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g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407EC9"/>
      </a:lt2>
      <a:accent1>
        <a:srgbClr val="00263E"/>
      </a:accent1>
      <a:accent2>
        <a:srgbClr val="6FACDE"/>
      </a:accent2>
      <a:accent3>
        <a:srgbClr val="949300"/>
      </a:accent3>
      <a:accent4>
        <a:srgbClr val="E07E3C"/>
      </a:accent4>
      <a:accent5>
        <a:srgbClr val="F0B323"/>
      </a:accent5>
      <a:accent6>
        <a:srgbClr val="A4C8E1"/>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44201F670F148870C6442C070CEFD" ma:contentTypeVersion="5" ma:contentTypeDescription="Create a new document." ma:contentTypeScope="" ma:versionID="b049ae89598c4faa5fc9dd6bc8d50f6c">
  <xsd:schema xmlns:xsd="http://www.w3.org/2001/XMLSchema" xmlns:xs="http://www.w3.org/2001/XMLSchema" xmlns:p="http://schemas.microsoft.com/office/2006/metadata/properties" xmlns:ns1="http://schemas.microsoft.com/sharepoint/v3" xmlns:ns2="aba38e84-a0e7-499c-b499-e241a647658e" targetNamespace="http://schemas.microsoft.com/office/2006/metadata/properties" ma:root="true" ma:fieldsID="f96d7d69ffc1ab2e8555372ec7bbdbba" ns1:_="" ns2:_="">
    <xsd:import namespace="http://schemas.microsoft.com/sharepoint/v3"/>
    <xsd:import namespace="aba38e84-a0e7-499c-b499-e241a647658e"/>
    <xsd:element name="properties">
      <xsd:complexType>
        <xsd:sequence>
          <xsd:element name="documentManagement">
            <xsd:complexType>
              <xsd:all>
                <xsd:element ref="ns1:PublishingStartDate" minOccurs="0"/>
                <xsd:element ref="ns1:PublishingExpirationDate" minOccurs="0"/>
                <xsd:element ref="ns2:Intended_x0020_Use" minOccurs="0"/>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38e84-a0e7-499c-b499-e241a647658e" elementFormDefault="qualified">
    <xsd:import namespace="http://schemas.microsoft.com/office/2006/documentManagement/types"/>
    <xsd:import namespace="http://schemas.microsoft.com/office/infopath/2007/PartnerControls"/>
    <xsd:element name="Intended_x0020_Use" ma:index="10" nillable="true" ma:displayName="Intended Use" ma:format="Dropdown" ma:internalName="Intended_x0020_Use">
      <xsd:simpleType>
        <xsd:restriction base="dms:Choice">
          <xsd:enumeration value="Retail"/>
        </xsd:restriction>
      </xsd:simpleType>
    </xsd:element>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Brand Guidelines"/>
                    <xsd:enumeration value="Brand Bulletins Phase 1"/>
                    <xsd:enumeration value="Brand Bulletins Phase 2"/>
                    <xsd:enumeration value="Business Cards"/>
                    <xsd:enumeration value="Email Signatures"/>
                    <xsd:enumeration value="FAQs"/>
                    <xsd:enumeration value="Letterheads"/>
                    <xsd:enumeration value="Letterheads Interim"/>
                    <xsd:enumeration value="Powerpoint Templates"/>
                    <xsd:enumeration value="Gallagher FAQs"/>
                    <xsd:enumeration value="Gallagher Templates"/>
                    <xsd:enumeration value="Gallagher Rebrand Guide"/>
                    <xsd:enumeration value="Gallagher Comms"/>
                  </xsd:restriction>
                </xsd:simpleType>
              </xsd:element>
            </xsd:sequence>
          </xsd:extension>
        </xsd:complexContent>
      </xsd:complexType>
    </xsd:element>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aba38e84-a0e7-499c-b499-e241a647658e" xsi:nil="true"/>
    <Category xmlns="aba38e84-a0e7-499c-b499-e241a647658e">
      <Value>Gallagher Templates</Value>
    </Category>
    <Intended_x0020_Use xmlns="aba38e84-a0e7-499c-b499-e241a647658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92D79A1B-45A5-4262-B630-CCC926CE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38e84-a0e7-499c-b499-e241a647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B1F72516-3B74-47DB-AD44-47B452A240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a38e84-a0e7-499c-b499-e241a64765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AJGIBLtd - Word Template</vt:lpstr>
    </vt:vector>
  </TitlesOfParts>
  <Company>Gallagher Benefit Services, Inc.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AJGIBLtd - Word Template</dc:title>
  <dc:creator>Heather Rookard</dc:creator>
  <cp:lastModifiedBy>Stacey Millson</cp:lastModifiedBy>
  <cp:revision>2</cp:revision>
  <cp:lastPrinted>2018-04-11T09:32:00Z</cp:lastPrinted>
  <dcterms:created xsi:type="dcterms:W3CDTF">2023-09-28T14:43:00Z</dcterms:created>
  <dcterms:modified xsi:type="dcterms:W3CDTF">2023-09-28T14:43:00Z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0x0101001CF44201F670F148870C6442C070CEFD</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